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/>
      <w:bookmarkStart w:id="0" w:name="P29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УТВЕРЖД</w:t>
      </w:r>
      <w:r>
        <w:rPr>
          <w:rFonts w:ascii="Times New Roman" w:hAnsi="Times New Roman" w:cs="Times New Roman"/>
          <w:sz w:val="24"/>
          <w:szCs w:val="24"/>
        </w:rPr>
        <w:t xml:space="preserve">АЮ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z w:val="24"/>
          <w:szCs w:val="24"/>
        </w:rPr>
        <w:t xml:space="preserve">правления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Ф</w:t>
      </w:r>
      <w:r>
        <w:rPr>
          <w:rFonts w:ascii="Times New Roman" w:hAnsi="Times New Roman" w:cs="Times New Roman"/>
          <w:sz w:val="24"/>
          <w:szCs w:val="24"/>
        </w:rPr>
        <w:t xml:space="preserve">едерального казначейства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по Тюменской области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left="9356"/>
        <w:jc w:val="center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1" w:name="_GoBack"/>
      <w:r/>
      <w:bookmarkEnd w:id="1"/>
      <w:r>
        <w:rPr>
          <w:rFonts w:ascii="Times New Roman" w:hAnsi="Times New Roman" w:cs="Times New Roman"/>
          <w:sz w:val="24"/>
          <w:szCs w:val="24"/>
        </w:rPr>
        <w:t xml:space="preserve">С.В. Друганова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right="-172"/>
        <w:jc w:val="center"/>
        <w:spacing w:before="240" w:after="24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января </w:t>
      </w:r>
      <w:r>
        <w:rPr>
          <w:rFonts w:ascii="Times New Roman" w:hAnsi="Times New Roman" w:cs="Times New Roman"/>
          <w:sz w:val="24"/>
          <w:szCs w:val="24"/>
        </w:rPr>
        <w:t xml:space="preserve">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9"/>
        <w:ind w:right="-172"/>
        <w:jc w:val="center"/>
        <w:spacing w:before="240" w:after="240" w:line="360" w:lineRule="atLeast"/>
        <w:tabs>
          <w:tab w:val="left" w:pos="60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r>
        <w:rPr>
          <w:rFonts w:ascii="Times New Roman" w:hAnsi="Times New Roman" w:cs="Times New Roman"/>
          <w:sz w:val="24"/>
          <w:szCs w:val="24"/>
        </w:rPr>
        <w:t xml:space="preserve">План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Управления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казначейства</w:t>
      </w:r>
      <w:r>
        <w:rPr>
          <w:rFonts w:ascii="Times New Roman" w:hAnsi="Times New Roman" w:cs="Times New Roman"/>
          <w:sz w:val="24"/>
          <w:szCs w:val="24"/>
        </w:rPr>
        <w:t xml:space="preserve"> по Тюменской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–202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по состоянию на 01.01</w:t>
      </w:r>
      <w:r>
        <w:rPr>
          <w:rFonts w:ascii="Times New Roman" w:hAnsi="Times New Roman" w:cs="Times New Roman"/>
          <w:sz w:val="24"/>
          <w:szCs w:val="24"/>
        </w:rPr>
        <w:t xml:space="preserve">.20</w:t>
      </w: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90"/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961"/>
        <w:gridCol w:w="2126"/>
        <w:gridCol w:w="1783"/>
        <w:gridCol w:w="60"/>
        <w:gridCol w:w="5245"/>
      </w:tblGrid>
      <w:tr>
        <w:tblPrEx/>
        <w:trPr>
          <w:trHeight w:val="170"/>
        </w:trPr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об исполнении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1"/>
        </w:trPr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14175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к служебному поведению, предотвращения и урегулирования конфликта интересов в связи с исполнением ими должностных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гражданскими служащими,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замещавшими должности федеральной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Управлении Федерального казначейства по Тюмен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(далее-Управление)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(далее – должности,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коррупционными рисками),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предусмотренных статьей 12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заключении ими после увольнения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государственной службы трудовых и гражданско–правовых договоро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15 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Управления о результатах рассмотрения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коммерческих и некоммерческих организаций уведомлений о заключении трудовых и гражданско-правовых договоров с лицами, замещавшими должности, связ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анные с коррупционными рисками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служебной  запиской от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  № 6700-15-02/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12 января 2026 г. № 6700-15-02/6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уратуру Тюменской области письмами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14.05.2025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67-10-09/15-2209, от 29.12.2025 № 67-10-09/15- 5572.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уведомлений о намерении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иную оплачиваемую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течение 5 рабочих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дней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поступило 1 уведомление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намерении выполнять иную оплачиваемую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от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6700-15-02/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1.3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локальных актов Управления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Жужгова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ревизии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служебной запиской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декабря 2025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6700-17-08/3356.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1.4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службы категории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708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оклад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2025 год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расширенной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коллегии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Управления «О предварительных итогах работы за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1.5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Тюменской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 о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 реализации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Плана противодействия коррупции Федерального казначейства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 декабря 2025 г. (протокол № 5). Комиссией принято решение –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проведенные в 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году, предусмотренные Планом противодействия коррупции в УФК по Тюменской области на 2025-2028 годы считать выполненными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результатах заседания Комиссии и принятом решении размещена на Сайте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1.6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гражданскими служащими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контроля своевременного представления указанных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отделом государственной гражданской службы и кадров 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 (далее-Справки), в отношении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членов их семей, что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включенных в перечень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доклад  руководителю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приема соответствующих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служебной запиской от 10 июня 2025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№ 6700-15-02/39.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1.7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представленных гражданскими служащими 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записка на имя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ажданскими служащими Управления представлена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июня 2025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6700-15-02/39.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1.8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 их родственниках и свойственниках в целях выявления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Актуализированы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анкет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ы государственных гражданских служащих Управления по форме,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утвержденн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Указ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            от 10 октября 2024 г. № 870 «О некоторых вопросах представления сведений при поступлении на государственную службу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Российской Федерации и муниципальную службу в Российск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ой Федерации и их актуализации».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Предоставлен доклад  руководителю 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 актуализации анкетных данных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служебной запиской от 22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2025 г.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№ 6700-15-02/5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1.9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освещению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техучеба с начальниками отделов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- 16.01.2025 участие в селекторном совещании с начальниками отделов на тему: «О заполнении формы анкеты, утвержденной Указом Президента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10 октября 2024 г.  № 870»;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-27.02.2025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справочнике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квалификационных требований к специальностям, направлениям подготовки, к профессиональному уровню, которые необходимы для замещения должностей гражданской службы с учетом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области и профессиональной служебной деятельности гражданских служащих. О порядке представления сведений о доходах, расходах, имуществе и обязательствах имущественного характера государственных служащих Управления за 2024 год и сведений об адресах сайтов»;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- 27.02.2025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представления сведений о доходах, расходах, имуществе и обязательствах имущественного характера государственных служащих Управления за 2024 год и сведений об адресах сайтов в 2025 году;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Доведены Методические рекомендации по вопросам представления сведений о доходах, расходах, об имуществе и обязательствах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имущественного характера и заполнения соответствующей формы справки в 2025 году (за отчетный 2024 год).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беседа по вопросам профилактики и противодействию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 работы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- 30.07.2025 - Об обзоре ошибок, допускаемых при заполнении справок о доходах, расходах, об имуществе и обязательствах имущественного характера.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- 30.10.2025 -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актуальных вопросах по профилактике коррупции и прохождению гражданской службы.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сотрудников Управления доведена Памятка для госслужащих «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онфликт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государственной и муниципальной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1.10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роспись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предупреждения и противодействия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государственную службу, ознакомлен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 регламентирующими вопросы предупреждения и противодействия коррупции в Управлении.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1.11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tabs>
                <w:tab w:val="left" w:pos="1080" w:leader="none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обучение по дополнительным профессиональным программам в области противодействия коррупции 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году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Управления, в должностные обязанности которых входит участие в противодействии коррупции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прошел повышение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00"/>
        </w:trPr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1.12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tabs>
                <w:tab w:val="left" w:pos="1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53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уровня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марта 2025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27 ноября 2025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беседы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профилактики и противодействию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 работы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в 2025 году охвачено 10 сотрудников.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tcW w:w="14175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«Интернет» информации об антикоррупционной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ва, ведение специализированного подраздела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«Противодействие коррупции»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рабочих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дней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по итогам проведения мониторинга размещения на официальном сайте Управления в сети «Интернет» информации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деятельности за 1 квартал 2025 года предоставлен  служебной  запиской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  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апреля 2025 г.  № 6700-15-02/22,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 2 квартал 2025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 служебной  запиской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июля 2025 г.  № 6700-15-02/41, за 3 квартал 2025 г. предоставлен служебной запиской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ктября 2025 г.  № 6700-15-02/66,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 г. предоставлен служебной запиской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№ 6700-15-02/6,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граждан и институтов гражданского общества к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антикоррупционной деятельности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 обращений граждан и организаций по информации проявления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«по телефону доверия»;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электронном виде;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бумажном носителе.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Е.М. Погадаева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jc w:val="both"/>
              <w:tabs>
                <w:tab w:val="left" w:pos="852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Порядок рассмотрения обращений граждан и организаций по фактам коррупции в Управлении Федерального казначейства по Тюменской области утвержден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приказом Управления 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 декабря 2022 г. № 512 утвержден Порядок рассмотрения обращений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граждан и организаций по фактам коррупции в Управлении Федерального казначейства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Тюменской области, в соответствии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 которым предусмотрена регистрация письменных и устных обращений граждан и организаций, а также   регистрация обращений по телефону и их рассмотрение.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интернет сайте Управления размещена конт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актная информация, по указанным данным любой гражданин или организация имеют возможность обратиться письменно, устно, по телефону, а также отправить электронное обращение в Управление через Интернет сайт и сообщить о ставших им известными фактах коррупции.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обращений граждан и организаций по фактам коррупции не поступало.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по итогам анализа и обобщения практики рассмотрения обращений граждан и организаций о фактах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явления коррупции в Управлении не наступил.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акты коррупции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требований к служебному поведению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99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проверки выявленных 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Запросов в Управление от представителей средств массовой информации по данному направлению за отчётный период не зарегистрировано.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Факты коррупции в СМИ в отчётном периоде не размещались в связи с отсутствием таковых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5" w:orient="landscape"/>
      <w:pgMar w:top="1134" w:right="567" w:bottom="1134" w:left="1134" w:header="56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24413842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4"/>
      </w:rPr>
    </w:sdtPr>
    <w:sdtContent>
      <w:p>
        <w:pPr>
          <w:pStyle w:val="683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2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5"/>
    <w:next w:val="67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5"/>
    <w:next w:val="67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5"/>
    <w:next w:val="67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5"/>
    <w:next w:val="67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5"/>
    <w:next w:val="67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5"/>
    <w:next w:val="67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5"/>
    <w:next w:val="67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5"/>
    <w:next w:val="67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5"/>
    <w:next w:val="67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5"/>
    <w:next w:val="67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6"/>
    <w:link w:val="34"/>
    <w:uiPriority w:val="10"/>
    <w:rPr>
      <w:sz w:val="48"/>
      <w:szCs w:val="48"/>
    </w:rPr>
  </w:style>
  <w:style w:type="paragraph" w:styleId="36">
    <w:name w:val="Subtitle"/>
    <w:basedOn w:val="675"/>
    <w:next w:val="67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6"/>
    <w:link w:val="36"/>
    <w:uiPriority w:val="11"/>
    <w:rPr>
      <w:sz w:val="24"/>
      <w:szCs w:val="24"/>
    </w:rPr>
  </w:style>
  <w:style w:type="paragraph" w:styleId="38">
    <w:name w:val="Quote"/>
    <w:basedOn w:val="675"/>
    <w:next w:val="67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5"/>
    <w:next w:val="67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6"/>
    <w:link w:val="683"/>
    <w:uiPriority w:val="99"/>
  </w:style>
  <w:style w:type="character" w:styleId="45">
    <w:name w:val="Footer Char"/>
    <w:basedOn w:val="676"/>
    <w:link w:val="685"/>
    <w:uiPriority w:val="99"/>
  </w:style>
  <w:style w:type="paragraph" w:styleId="46">
    <w:name w:val="Caption"/>
    <w:basedOn w:val="675"/>
    <w:next w:val="67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6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6"/>
    <w:uiPriority w:val="99"/>
    <w:unhideWhenUsed/>
    <w:rPr>
      <w:vertAlign w:val="superscript"/>
    </w:rPr>
  </w:style>
  <w:style w:type="paragraph" w:styleId="178">
    <w:name w:val="endnote text"/>
    <w:basedOn w:val="67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6"/>
    <w:uiPriority w:val="99"/>
    <w:semiHidden/>
    <w:unhideWhenUsed/>
    <w:rPr>
      <w:vertAlign w:val="superscript"/>
    </w:rPr>
  </w:style>
  <w:style w:type="paragraph" w:styleId="181">
    <w:name w:val="toc 1"/>
    <w:basedOn w:val="675"/>
    <w:next w:val="67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5"/>
    <w:next w:val="67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5"/>
    <w:next w:val="67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5"/>
    <w:next w:val="67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5"/>
    <w:next w:val="67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5"/>
    <w:next w:val="67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5"/>
    <w:next w:val="67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5"/>
    <w:next w:val="67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5"/>
    <w:next w:val="67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5"/>
    <w:next w:val="675"/>
    <w:uiPriority w:val="99"/>
    <w:unhideWhenUsed/>
    <w:pPr>
      <w:spacing w:after="0" w:afterAutospacing="0"/>
    </w:pPr>
  </w:style>
  <w:style w:type="paragraph" w:styleId="675" w:default="1">
    <w:name w:val="Normal"/>
    <w:qFormat/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paragraph" w:styleId="67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80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81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character" w:styleId="682" w:customStyle="1">
    <w:name w:val="Font Style22"/>
    <w:basedOn w:val="676"/>
    <w:uiPriority w:val="99"/>
    <w:rPr>
      <w:rFonts w:hint="default" w:ascii="Times New Roman" w:hAnsi="Times New Roman" w:cs="Times New Roman"/>
      <w:sz w:val="20"/>
      <w:szCs w:val="20"/>
    </w:rPr>
  </w:style>
  <w:style w:type="paragraph" w:styleId="683">
    <w:name w:val="Header"/>
    <w:basedOn w:val="675"/>
    <w:link w:val="6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6"/>
    <w:link w:val="683"/>
    <w:uiPriority w:val="99"/>
  </w:style>
  <w:style w:type="paragraph" w:styleId="685">
    <w:name w:val="Footer"/>
    <w:basedOn w:val="675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6"/>
    <w:link w:val="685"/>
    <w:uiPriority w:val="99"/>
  </w:style>
  <w:style w:type="paragraph" w:styleId="687">
    <w:name w:val="Balloon Text"/>
    <w:basedOn w:val="675"/>
    <w:link w:val="68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88" w:customStyle="1">
    <w:name w:val="Текст выноски Знак"/>
    <w:basedOn w:val="676"/>
    <w:link w:val="687"/>
    <w:uiPriority w:val="99"/>
    <w:semiHidden/>
    <w:rPr>
      <w:rFonts w:ascii="Tahoma" w:hAnsi="Tahoma" w:cs="Tahoma"/>
      <w:sz w:val="16"/>
      <w:szCs w:val="16"/>
    </w:rPr>
  </w:style>
  <w:style w:type="paragraph" w:styleId="689">
    <w:name w:val="Revision"/>
    <w:hidden/>
    <w:uiPriority w:val="99"/>
    <w:semiHidden/>
    <w:pPr>
      <w:spacing w:after="0" w:line="240" w:lineRule="auto"/>
    </w:pPr>
  </w:style>
  <w:style w:type="table" w:styleId="690">
    <w:name w:val="Table Grid"/>
    <w:basedOn w:val="67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100D-910A-42B3-9099-CF5F414A9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ФК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Аноним</cp:lastModifiedBy>
  <cp:revision>164</cp:revision>
  <dcterms:created xsi:type="dcterms:W3CDTF">2021-09-28T07:06:00Z</dcterms:created>
  <dcterms:modified xsi:type="dcterms:W3CDTF">2026-01-23T10:09:49Z</dcterms:modified>
</cp:coreProperties>
</file>